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w:t>
      </w:r>
      <w:r w:rsidR="009E4272">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 xml:space="preserve">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2E7A4A" w:rsidRPr="009E4272" w:rsidRDefault="00E06FE3" w:rsidP="002E7A4A">
      <w:pPr>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r>
      <w:r w:rsidR="002E7A4A" w:rsidRPr="002E7A4A">
        <w:rPr>
          <w:rFonts w:ascii="Times New Roman" w:hAnsi="Times New Roman" w:cs="Times New Roman"/>
          <w:b/>
          <w:sz w:val="18"/>
          <w:szCs w:val="18"/>
        </w:rPr>
        <w:t>Общество с ограниченной ответственность</w:t>
      </w:r>
      <w:r w:rsidR="00C3289D">
        <w:rPr>
          <w:rFonts w:ascii="Times New Roman" w:hAnsi="Times New Roman" w:cs="Times New Roman"/>
          <w:b/>
          <w:sz w:val="18"/>
          <w:szCs w:val="18"/>
        </w:rPr>
        <w:t>ю</w:t>
      </w:r>
      <w:r w:rsidR="002E7A4A" w:rsidRPr="002E7A4A">
        <w:rPr>
          <w:rFonts w:ascii="Times New Roman" w:hAnsi="Times New Roman" w:cs="Times New Roman"/>
          <w:b/>
          <w:sz w:val="18"/>
          <w:szCs w:val="18"/>
        </w:rPr>
        <w:t xml:space="preserve"> «</w:t>
      </w:r>
      <w:r w:rsidR="002E7A4A" w:rsidRPr="002E7A4A">
        <w:rPr>
          <w:rFonts w:ascii="Times New Roman" w:hAnsi="Times New Roman" w:cs="Times New Roman"/>
          <w:b/>
          <w:bCs/>
          <w:kern w:val="2"/>
          <w:sz w:val="18"/>
          <w:szCs w:val="18"/>
        </w:rPr>
        <w:t>Мегалит - Охта Групп</w:t>
      </w:r>
      <w:r w:rsidR="002E7A4A" w:rsidRPr="002E7A4A">
        <w:rPr>
          <w:rFonts w:ascii="Times New Roman" w:hAnsi="Times New Roman" w:cs="Times New Roman"/>
          <w:b/>
          <w:sz w:val="18"/>
          <w:szCs w:val="18"/>
        </w:rPr>
        <w:t xml:space="preserve">», </w:t>
      </w:r>
      <w:r w:rsidR="002E7A4A" w:rsidRPr="002E7A4A">
        <w:rPr>
          <w:rFonts w:ascii="Times New Roman" w:hAnsi="Times New Roman" w:cs="Times New Roman"/>
          <w:snapToGrid w:val="0"/>
          <w:sz w:val="18"/>
          <w:szCs w:val="18"/>
        </w:rPr>
        <w:t xml:space="preserve">ОГРН </w:t>
      </w:r>
      <w:r w:rsidR="002E7A4A" w:rsidRPr="002E7A4A">
        <w:rPr>
          <w:rFonts w:ascii="Times New Roman" w:hAnsi="Times New Roman" w:cs="Times New Roman"/>
          <w:kern w:val="2"/>
          <w:sz w:val="18"/>
          <w:szCs w:val="18"/>
        </w:rPr>
        <w:t>5067847389484</w:t>
      </w:r>
      <w:r w:rsidR="002E7A4A" w:rsidRPr="002E7A4A">
        <w:rPr>
          <w:rFonts w:ascii="Times New Roman" w:hAnsi="Times New Roman" w:cs="Times New Roman"/>
          <w:snapToGrid w:val="0"/>
          <w:sz w:val="18"/>
          <w:szCs w:val="18"/>
        </w:rPr>
        <w:t xml:space="preserve">, </w:t>
      </w:r>
      <w:r w:rsidR="002E7A4A" w:rsidRPr="002E7A4A">
        <w:rPr>
          <w:rFonts w:ascii="Times New Roman" w:hAnsi="Times New Roman" w:cs="Times New Roman"/>
          <w:sz w:val="18"/>
          <w:szCs w:val="18"/>
        </w:rPr>
        <w:t xml:space="preserve">ИНН </w:t>
      </w:r>
      <w:r w:rsidR="002E7A4A" w:rsidRPr="002E7A4A">
        <w:rPr>
          <w:rFonts w:ascii="Times New Roman" w:hAnsi="Times New Roman" w:cs="Times New Roman"/>
          <w:kern w:val="2"/>
          <w:sz w:val="18"/>
          <w:szCs w:val="18"/>
        </w:rPr>
        <w:t>7842343178</w:t>
      </w:r>
      <w:r w:rsidR="002E7A4A" w:rsidRPr="002E7A4A">
        <w:rPr>
          <w:rFonts w:ascii="Times New Roman" w:hAnsi="Times New Roman" w:cs="Times New Roman"/>
          <w:sz w:val="18"/>
          <w:szCs w:val="18"/>
        </w:rPr>
        <w:t xml:space="preserve">, КПП </w:t>
      </w:r>
      <w:r w:rsidR="002E7A4A" w:rsidRPr="002E7A4A">
        <w:rPr>
          <w:rFonts w:ascii="Times New Roman" w:hAnsi="Times New Roman" w:cs="Times New Roman"/>
          <w:kern w:val="2"/>
          <w:sz w:val="18"/>
          <w:szCs w:val="18"/>
        </w:rPr>
        <w:t>784201001</w:t>
      </w:r>
      <w:r w:rsidR="002E7A4A" w:rsidRPr="002E7A4A">
        <w:rPr>
          <w:rFonts w:ascii="Times New Roman" w:hAnsi="Times New Roman" w:cs="Times New Roman"/>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2E7A4A" w:rsidRPr="002E7A4A">
        <w:rPr>
          <w:rFonts w:ascii="Times New Roman" w:hAnsi="Times New Roman" w:cs="Times New Roman"/>
          <w:b/>
          <w:sz w:val="18"/>
          <w:szCs w:val="18"/>
        </w:rPr>
        <w:t>«Застройщик</w:t>
      </w:r>
      <w:r w:rsidR="002E7A4A" w:rsidRPr="002E7A4A">
        <w:rPr>
          <w:rFonts w:ascii="Times New Roman" w:hAnsi="Times New Roman" w:cs="Times New Roman"/>
          <w:b/>
          <w:bCs/>
          <w:sz w:val="18"/>
          <w:szCs w:val="18"/>
        </w:rPr>
        <w:t>»</w:t>
      </w:r>
      <w:r w:rsidR="002E7A4A" w:rsidRPr="002E7A4A">
        <w:rPr>
          <w:rFonts w:ascii="Times New Roman" w:hAnsi="Times New Roman" w:cs="Times New Roman"/>
          <w:sz w:val="18"/>
          <w:szCs w:val="18"/>
        </w:rPr>
        <w:t xml:space="preserve">, в лице </w:t>
      </w:r>
      <w:r w:rsidR="00341DF6">
        <w:rPr>
          <w:rFonts w:ascii="Times New Roman" w:eastAsia="Times New Roman" w:hAnsi="Times New Roman" w:cs="Times New Roman"/>
          <w:sz w:val="18"/>
          <w:szCs w:val="18"/>
          <w:lang w:eastAsia="ru-RU"/>
        </w:rPr>
        <w:t>______________________</w:t>
      </w:r>
      <w:r w:rsidR="009E4272">
        <w:rPr>
          <w:sz w:val="18"/>
          <w:szCs w:val="18"/>
        </w:rPr>
        <w:t xml:space="preserve">, </w:t>
      </w:r>
      <w:r w:rsidR="009E4272" w:rsidRPr="009E4272">
        <w:rPr>
          <w:rFonts w:ascii="Times New Roman" w:eastAsia="Times New Roman" w:hAnsi="Times New Roman" w:cs="Times New Roman"/>
          <w:sz w:val="18"/>
          <w:szCs w:val="18"/>
          <w:lang w:eastAsia="ru-RU"/>
        </w:rPr>
        <w:t xml:space="preserve">действующей(-его) на основании </w:t>
      </w:r>
      <w:r w:rsidR="00341DF6">
        <w:rPr>
          <w:rFonts w:ascii="Times New Roman" w:eastAsia="Times New Roman" w:hAnsi="Times New Roman" w:cs="Times New Roman"/>
          <w:sz w:val="18"/>
          <w:szCs w:val="18"/>
          <w:lang w:eastAsia="ru-RU"/>
        </w:rPr>
        <w:t>__________________________</w:t>
      </w:r>
      <w:r w:rsidR="002E7A4A" w:rsidRPr="009E4272">
        <w:rPr>
          <w:rFonts w:ascii="Times New Roman" w:eastAsia="Times New Roman" w:hAnsi="Times New Roman" w:cs="Times New Roman"/>
          <w:sz w:val="18"/>
          <w:szCs w:val="18"/>
          <w:lang w:eastAsia="ru-RU"/>
        </w:rPr>
        <w:t>,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2E7A4A">
        <w:rPr>
          <w:rFonts w:ascii="Times New Roman" w:eastAsia="Times New Roman" w:hAnsi="Times New Roman" w:cs="Times New Roman"/>
          <w:b/>
          <w:sz w:val="18"/>
          <w:szCs w:val="18"/>
          <w:lang w:eastAsia="ru-RU"/>
        </w:rPr>
        <w:t>Гражданин РФ</w:t>
      </w:r>
      <w:r w:rsidRPr="002E7A4A">
        <w:rPr>
          <w:rFonts w:ascii="Times New Roman" w:eastAsia="Times New Roman" w:hAnsi="Times New Roman" w:cs="Times New Roman"/>
          <w:sz w:val="18"/>
          <w:szCs w:val="18"/>
          <w:lang w:eastAsia="ru-RU"/>
        </w:rPr>
        <w:t>, __________________________________________(ФИО), _____________года рождения, место рождения:</w:t>
      </w:r>
      <w:r w:rsidRPr="00E06FE3">
        <w:rPr>
          <w:rFonts w:ascii="Times New Roman" w:eastAsia="Times New Roman" w:hAnsi="Times New Roman" w:cs="Times New Roman"/>
          <w:sz w:val="18"/>
          <w:szCs w:val="18"/>
          <w:lang w:eastAsia="ru-RU"/>
        </w:rPr>
        <w:t xml:space="preserve">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06179F">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 (корпус 39)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АЛ,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78:34:0410401:1176,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У,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Ф, кадастровый номер </w:t>
      </w:r>
      <w:r w:rsidRPr="00E06FE3">
        <w:rPr>
          <w:rFonts w:ascii="Times New Roman" w:eastAsia="Times New Roman" w:hAnsi="Times New Roman" w:cs="Times New Roman"/>
          <w:bCs/>
          <w:sz w:val="18"/>
          <w:szCs w:val="18"/>
          <w:shd w:val="clear" w:color="auto" w:fill="FFFFFF"/>
          <w:lang w:eastAsia="ru-RU"/>
        </w:rPr>
        <w:t>78:34:0410401:1159,</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Э,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8:34:0410401:1183,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Cs/>
          <w:iCs/>
          <w:sz w:val="18"/>
          <w:szCs w:val="18"/>
          <w:lang w:eastAsia="ru-RU"/>
        </w:rPr>
        <w:t>г. Санкт-Петербург, Коломяжский проспект, д. 13, литера Х кадастровый номер: 78:34:0410401:1174.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lastRenderedPageBreak/>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78-015-056</w:t>
      </w:r>
      <w:r w:rsidR="0006179F">
        <w:rPr>
          <w:rFonts w:ascii="Times New Roman" w:eastAsia="Times New Roman" w:hAnsi="Times New Roman" w:cs="Times New Roman"/>
          <w:sz w:val="18"/>
          <w:szCs w:val="18"/>
          <w:lang w:eastAsia="ru-RU"/>
        </w:rPr>
        <w:t>4</w:t>
      </w:r>
      <w:r w:rsidRPr="00E06FE3">
        <w:rPr>
          <w:rFonts w:ascii="Times New Roman" w:eastAsia="Times New Roman" w:hAnsi="Times New Roman" w:cs="Times New Roman"/>
          <w:sz w:val="18"/>
          <w:szCs w:val="18"/>
          <w:lang w:eastAsia="ru-RU"/>
        </w:rPr>
        <w:t>-2017 от 15.09.2017 года, выданным Службой государственного строительного надзора и экспертизы Санкт-Петербурга.</w:t>
      </w:r>
    </w:p>
    <w:p w:rsidR="00E06FE3" w:rsidRPr="00341DF6"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8" w:history="1"/>
      <w:r w:rsidRPr="00E06FE3">
        <w:rPr>
          <w:rFonts w:ascii="Times New Roman" w:eastAsia="Times New Roman" w:hAnsi="Times New Roman" w:cs="Times New Roman"/>
          <w:sz w:val="18"/>
          <w:szCs w:val="18"/>
          <w:lang w:eastAsia="ru-RU"/>
        </w:rPr>
        <w:t xml:space="preserve"> </w:t>
      </w:r>
      <w:r w:rsidRPr="00E06FE3">
        <w:rPr>
          <w:rFonts w:ascii="Arial" w:eastAsia="Times New Roman" w:hAnsi="Arial" w:cs="Times New Roman"/>
          <w:color w:val="44546A" w:themeColor="text2"/>
          <w:sz w:val="18"/>
          <w:szCs w:val="18"/>
          <w:lang w:eastAsia="ru-RU"/>
        </w:rPr>
        <w:t>primkvartal.ru</w:t>
      </w:r>
      <w:r w:rsidRPr="00E06FE3">
        <w:rPr>
          <w:rFonts w:ascii="Times New Roman" w:eastAsia="Times New Roman" w:hAnsi="Times New Roman" w:cs="Times New Roman"/>
          <w:sz w:val="18"/>
          <w:szCs w:val="18"/>
          <w:lang w:eastAsia="ru-RU"/>
        </w:rPr>
        <w:t xml:space="preserve">  и может быть предоставлена для ознакомления в офисе </w:t>
      </w:r>
      <w:r w:rsidRPr="00341DF6">
        <w:rPr>
          <w:rFonts w:ascii="Times New Roman" w:eastAsia="Times New Roman" w:hAnsi="Times New Roman" w:cs="Times New Roman"/>
          <w:sz w:val="18"/>
          <w:szCs w:val="18"/>
          <w:lang w:eastAsia="ru-RU"/>
        </w:rPr>
        <w:t>Застройщика по адресу: Санкт-Петербург, ул.Садовая, дом 40.</w:t>
      </w:r>
    </w:p>
    <w:p w:rsidR="00E06FE3" w:rsidRPr="00E06FE3"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341DF6">
        <w:rPr>
          <w:rFonts w:ascii="Times New Roman" w:eastAsia="Times New Roman" w:hAnsi="Times New Roman" w:cs="Times New Roman"/>
          <w:sz w:val="18"/>
          <w:szCs w:val="18"/>
          <w:lang w:eastAsia="ru-RU"/>
        </w:rPr>
        <w:t>Заключением №</w:t>
      </w:r>
      <w:r w:rsidR="00217194" w:rsidRPr="00341DF6">
        <w:rPr>
          <w:rFonts w:ascii="Times New Roman" w:eastAsia="Times New Roman" w:hAnsi="Times New Roman" w:cs="Times New Roman"/>
          <w:sz w:val="18"/>
          <w:szCs w:val="18"/>
          <w:lang w:eastAsia="ru-RU"/>
        </w:rPr>
        <w:t>101/2017</w:t>
      </w:r>
      <w:r w:rsidRPr="00341DF6">
        <w:rPr>
          <w:rFonts w:ascii="Times New Roman" w:eastAsia="Times New Roman" w:hAnsi="Times New Roman" w:cs="Times New Roman"/>
          <w:sz w:val="18"/>
          <w:szCs w:val="18"/>
          <w:lang w:eastAsia="ru-RU"/>
        </w:rPr>
        <w:t xml:space="preserve"> от </w:t>
      </w:r>
      <w:r w:rsidR="00217194" w:rsidRPr="00341DF6">
        <w:rPr>
          <w:rFonts w:ascii="Times New Roman" w:eastAsia="Times New Roman" w:hAnsi="Times New Roman" w:cs="Times New Roman"/>
          <w:sz w:val="18"/>
          <w:szCs w:val="18"/>
          <w:lang w:eastAsia="ru-RU"/>
        </w:rPr>
        <w:t>21</w:t>
      </w:r>
      <w:r w:rsidRPr="00341DF6">
        <w:rPr>
          <w:rFonts w:ascii="Times New Roman" w:eastAsia="Times New Roman" w:hAnsi="Times New Roman" w:cs="Times New Roman"/>
          <w:sz w:val="18"/>
          <w:szCs w:val="18"/>
          <w:lang w:eastAsia="ru-RU"/>
        </w:rPr>
        <w:t>.12.2017г. Комитета по строительству Санкт-Петербурга  о соответствии  застройщика</w:t>
      </w:r>
      <w:r w:rsidRPr="00E06FE3">
        <w:rPr>
          <w:rFonts w:ascii="Times New Roman" w:eastAsia="Times New Roman" w:hAnsi="Times New Roman" w:cs="Times New Roman"/>
          <w:sz w:val="18"/>
          <w:szCs w:val="18"/>
          <w:lang w:eastAsia="ru-RU"/>
        </w:rPr>
        <w:t xml:space="preserve">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6FE3" w:rsidRPr="00344483"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344483">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w:t>
      </w:r>
      <w:r w:rsidRPr="00E06FE3">
        <w:rPr>
          <w:rFonts w:ascii="Times New Roman" w:eastAsia="Times New Roman" w:hAnsi="Times New Roman" w:cs="Times New Roman"/>
          <w:sz w:val="18"/>
          <w:szCs w:val="18"/>
          <w:lang w:eastAsia="ru-RU"/>
        </w:rPr>
        <w:lastRenderedPageBreak/>
        <w:t>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не </w:t>
      </w:r>
      <w:r w:rsidRPr="00341DF6">
        <w:rPr>
          <w:rFonts w:ascii="Times New Roman" w:eastAsia="Times New Roman" w:hAnsi="Times New Roman" w:cs="Times New Roman"/>
          <w:sz w:val="18"/>
          <w:szCs w:val="18"/>
          <w:lang w:eastAsia="ru-RU"/>
        </w:rPr>
        <w:t>позднее 15.09.2022 года при</w:t>
      </w:r>
      <w:r w:rsidRPr="00E06FE3">
        <w:rPr>
          <w:rFonts w:ascii="Times New Roman" w:eastAsia="Times New Roman" w:hAnsi="Times New Roman" w:cs="Times New Roman"/>
          <w:sz w:val="18"/>
          <w:szCs w:val="18"/>
          <w:lang w:eastAsia="ru-RU"/>
        </w:rPr>
        <w:t xml:space="preserve"> наличии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341DF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3.1. Цена договора, то есть размер денежных средств, подлежащих уплате Дольщиком для стро</w:t>
      </w:r>
      <w:r w:rsidR="00BA315E">
        <w:rPr>
          <w:rFonts w:ascii="Times New Roman" w:eastAsia="Times New Roman" w:hAnsi="Times New Roman" w:cs="Times New Roman"/>
          <w:sz w:val="18"/>
          <w:szCs w:val="18"/>
          <w:lang w:eastAsia="ru-RU"/>
        </w:rPr>
        <w:t xml:space="preserve">ительства (создания) Квартиры, </w:t>
      </w:r>
      <w:r w:rsidRPr="00E06FE3">
        <w:rPr>
          <w:rFonts w:ascii="Times New Roman" w:eastAsia="Times New Roman" w:hAnsi="Times New Roman" w:cs="Times New Roman"/>
          <w:sz w:val="18"/>
          <w:szCs w:val="18"/>
          <w:lang w:eastAsia="ru-RU"/>
        </w:rPr>
        <w:t xml:space="preserve">по соглашению </w:t>
      </w:r>
      <w:r w:rsidRPr="00341DF6">
        <w:rPr>
          <w:rFonts w:ascii="Times New Roman" w:eastAsia="Times New Roman" w:hAnsi="Times New Roman" w:cs="Times New Roman"/>
          <w:sz w:val="18"/>
          <w:szCs w:val="18"/>
          <w:lang w:eastAsia="ru-RU"/>
        </w:rPr>
        <w:t xml:space="preserve">Сторон составляет </w:t>
      </w:r>
      <w:r w:rsidRPr="00341DF6">
        <w:rPr>
          <w:rFonts w:ascii="Times New Roman" w:eastAsia="Times New Roman" w:hAnsi="Times New Roman" w:cs="Times New Roman"/>
          <w:b/>
          <w:sz w:val="18"/>
          <w:szCs w:val="18"/>
          <w:lang w:eastAsia="ru-RU"/>
        </w:rPr>
        <w:t>____________</w:t>
      </w:r>
      <w:r w:rsidRPr="00341DF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341DF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lastRenderedPageBreak/>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341DF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341DF6">
        <w:rPr>
          <w:rFonts w:ascii="Times New Roman" w:eastAsia="Times New Roman" w:hAnsi="Times New Roman" w:cs="Times New Roman"/>
          <w:b/>
          <w:sz w:val="18"/>
          <w:szCs w:val="18"/>
          <w:lang w:eastAsia="ru-RU"/>
        </w:rPr>
        <w:t>____________</w:t>
      </w:r>
      <w:r w:rsidRPr="00341DF6">
        <w:rPr>
          <w:rFonts w:ascii="Times New Roman" w:eastAsia="Times New Roman" w:hAnsi="Times New Roman" w:cs="Times New Roman"/>
          <w:sz w:val="18"/>
          <w:szCs w:val="18"/>
          <w:lang w:eastAsia="ru-RU"/>
        </w:rPr>
        <w:t>(____________) рублей ___ копеек, НДС не облагается.</w:t>
      </w:r>
    </w:p>
    <w:p w:rsidR="00E06FE3" w:rsidRPr="00341DF6"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341DF6">
        <w:rPr>
          <w:rFonts w:ascii="Times New Roman" w:eastAsia="Times New Roman" w:hAnsi="Times New Roman" w:cs="Times New Roman"/>
          <w:snapToGrid w:val="0"/>
          <w:sz w:val="18"/>
          <w:szCs w:val="18"/>
          <w:lang w:eastAsia="ru-RU"/>
        </w:rPr>
        <w:t xml:space="preserve">75 % от Цены Договора </w:t>
      </w:r>
      <w:r w:rsidRPr="00341DF6">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341DF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341DF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w:t>
      </w:r>
      <w:r w:rsidRPr="00E06FE3">
        <w:rPr>
          <w:rFonts w:ascii="Times New Roman" w:eastAsia="Times New Roman" w:hAnsi="Times New Roman" w:cs="Times New Roman"/>
          <w:sz w:val="18"/>
          <w:szCs w:val="18"/>
          <w:lang w:eastAsia="ru-RU"/>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C558FB" w:rsidRPr="00C558FB">
        <w:rPr>
          <w:snapToGrid w:val="0"/>
          <w:sz w:val="18"/>
          <w:szCs w:val="18"/>
        </w:rPr>
        <w:t xml:space="preserve"> </w:t>
      </w:r>
      <w:r w:rsidR="00C558FB">
        <w:rPr>
          <w:snapToGrid w:val="0"/>
          <w:sz w:val="18"/>
          <w:szCs w:val="18"/>
        </w:rPr>
        <w:t>на оплату процентов по целевому кредиту на приобретение земельного участка;</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w:t>
      </w:r>
      <w:r w:rsidR="00BA315E">
        <w:rPr>
          <w:rFonts w:ascii="Times New Roman" w:eastAsia="Times New Roman" w:hAnsi="Times New Roman" w:cs="Times New Roman"/>
          <w:sz w:val="18"/>
          <w:szCs w:val="18"/>
          <w:lang w:eastAsia="ru-RU"/>
        </w:rPr>
        <w:t xml:space="preserve"> скорректировано Сторонами, что фиксируется Сторонами </w:t>
      </w:r>
      <w:r w:rsidRPr="00E06FE3">
        <w:rPr>
          <w:rFonts w:ascii="Times New Roman" w:eastAsia="Times New Roman" w:hAnsi="Times New Roman" w:cs="Times New Roman"/>
          <w:sz w:val="18"/>
          <w:szCs w:val="18"/>
          <w:lang w:eastAsia="ru-RU"/>
        </w:rPr>
        <w:t>при подписании Передаточного акта.</w:t>
      </w:r>
    </w:p>
    <w:p w:rsid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также признают, что сумма, которая составит разницу между суммой Целевых денежных средств и стоимостью всех товаров, работ и услуг</w:t>
      </w:r>
      <w:r w:rsidR="00BA315E">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w:t>
      </w:r>
      <w:r w:rsidR="00BA315E">
        <w:rPr>
          <w:rFonts w:ascii="Times New Roman" w:eastAsia="Times New Roman" w:hAnsi="Times New Roman" w:cs="Times New Roman"/>
          <w:sz w:val="18"/>
          <w:szCs w:val="18"/>
          <w:lang w:eastAsia="ru-RU"/>
        </w:rPr>
        <w:t>спользует по своему усмотрению.</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именуемых далее – «объекты социальной инфраструктуры».</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BA315E" w:rsidRPr="00341DF6" w:rsidRDefault="00BA315E" w:rsidP="00BA315E">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BA315E" w:rsidRPr="00341DF6" w:rsidRDefault="00BA315E" w:rsidP="00A551AB">
      <w:pPr>
        <w:autoSpaceDE w:val="0"/>
        <w:autoSpaceDN w:val="0"/>
        <w:adjustRightInd w:val="0"/>
        <w:spacing w:after="0"/>
        <w:ind w:firstLine="567"/>
        <w:jc w:val="both"/>
        <w:rPr>
          <w:rFonts w:ascii="Times New Roman" w:hAnsi="Times New Roman" w:cs="Times New Roman"/>
          <w:color w:val="000000" w:themeColor="text1"/>
          <w:sz w:val="18"/>
          <w:szCs w:val="18"/>
        </w:rPr>
      </w:pPr>
      <w:r w:rsidRPr="00341DF6">
        <w:rPr>
          <w:rFonts w:ascii="Times New Roman" w:hAnsi="Times New Roman" w:cs="Times New Roman"/>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BA315E" w:rsidRPr="00341DF6" w:rsidRDefault="00A551AB" w:rsidP="00A551AB">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BA315E" w:rsidRPr="00341DF6" w:rsidRDefault="00BA315E" w:rsidP="00A551AB">
      <w:pPr>
        <w:pStyle w:val="a7"/>
        <w:spacing w:line="264" w:lineRule="auto"/>
        <w:ind w:firstLine="567"/>
        <w:rPr>
          <w:rFonts w:ascii="Times New Roman" w:hAnsi="Times New Roman"/>
          <w:color w:val="000000" w:themeColor="text1"/>
          <w:sz w:val="18"/>
          <w:szCs w:val="18"/>
        </w:rPr>
      </w:pPr>
      <w:r w:rsidRPr="00341DF6">
        <w:rPr>
          <w:rFonts w:ascii="Times New Roman" w:hAnsi="Times New Roman"/>
          <w:color w:val="000000" w:themeColor="text1"/>
          <w:sz w:val="18"/>
          <w:szCs w:val="18"/>
        </w:rPr>
        <w:lastRenderedPageBreak/>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BA315E" w:rsidRPr="00E06FE3" w:rsidRDefault="00BA315E"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 xml:space="preserve">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E06FE3">
        <w:rPr>
          <w:rFonts w:ascii="Times New Roman" w:hAnsi="Times New Roman" w:cs="Times New Roman"/>
          <w:sz w:val="18"/>
          <w:szCs w:val="18"/>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344483">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344483">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w:t>
      </w:r>
      <w:r w:rsidR="00344483">
        <w:rPr>
          <w:rFonts w:ascii="Times New Roman" w:eastAsia="Times New Roman" w:hAnsi="Times New Roman" w:cs="Times New Roman"/>
          <w:sz w:val="18"/>
          <w:szCs w:val="18"/>
          <w:lang w:eastAsia="ru-RU"/>
        </w:rPr>
        <w:t>в, определенных в пунктах 5.5- 5.7</w:t>
      </w:r>
      <w:r w:rsidRPr="00E06FE3">
        <w:rPr>
          <w:rFonts w:ascii="Times New Roman" w:eastAsia="Times New Roman" w:hAnsi="Times New Roman" w:cs="Times New Roman"/>
          <w:sz w:val="18"/>
          <w:szCs w:val="18"/>
          <w:lang w:eastAsia="ru-RU"/>
        </w:rPr>
        <w:t>.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lastRenderedPageBreak/>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341DF6">
              <w:rPr>
                <w:rFonts w:ascii="Times New Roman" w:eastAsia="Times New Roman" w:hAnsi="Times New Roman" w:cs="Times New Roman"/>
                <w:sz w:val="18"/>
                <w:szCs w:val="18"/>
                <w:lang w:eastAsia="ru-RU"/>
              </w:rPr>
              <w:t xml:space="preserve">с  </w:t>
            </w:r>
            <w:r w:rsidR="00971422" w:rsidRPr="00341DF6">
              <w:rPr>
                <w:rFonts w:ascii="Times New Roman" w:eastAsia="Times New Roman" w:hAnsi="Times New Roman" w:cs="Times New Roman"/>
                <w:sz w:val="18"/>
                <w:szCs w:val="18"/>
                <w:lang w:eastAsia="ru-RU"/>
              </w:rPr>
              <w:t>40702810090550001666</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673CB5" w:rsidRDefault="00673CB5"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C558FB">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:______________________________</w:t>
            </w:r>
          </w:p>
          <w:p w:rsidR="00673CB5" w:rsidRPr="00673CB5" w:rsidRDefault="00673CB5"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lastRenderedPageBreak/>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(корпус 3</w:t>
      </w:r>
      <w:r w:rsidR="00361DE7" w:rsidRPr="00305C48">
        <w:rPr>
          <w:rFonts w:ascii="Times New Roman" w:eastAsia="Times New Roman" w:hAnsi="Times New Roman" w:cs="Times New Roman"/>
          <w:b/>
          <w:i/>
          <w:sz w:val="18"/>
          <w:szCs w:val="18"/>
          <w:lang w:eastAsia="ru-RU"/>
        </w:rPr>
        <w:t>9</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341DF6"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обозначается рамкой красного цвета на копии поэтажного плана Объекта, </w:t>
      </w:r>
      <w:r w:rsidRPr="00341DF6">
        <w:rPr>
          <w:rFonts w:ascii="Times New Roman" w:eastAsia="Times New Roman" w:hAnsi="Times New Roman" w:cs="Times New Roman"/>
          <w:sz w:val="18"/>
          <w:szCs w:val="18"/>
          <w:lang w:eastAsia="ru-RU"/>
        </w:rPr>
        <w:t>прилагаемой к Договору и являющейся его неотъемлемой частью (Приложение №3 к Договору).</w:t>
      </w:r>
    </w:p>
    <w:p w:rsidR="00E06FE3" w:rsidRPr="00341DF6" w:rsidRDefault="00E06FE3" w:rsidP="0024390C">
      <w:pPr>
        <w:spacing w:before="240" w:after="0" w:line="220" w:lineRule="exact"/>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счетчики потребления горячей и холодной воды;</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счетчик потребления электрической энергии;</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341DF6">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квартирный электрический щиток;</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перегородки и стены выровнены под  штукатурку;</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на полу – выравнивающая цементная стяжка;</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341DF6">
        <w:rPr>
          <w:rFonts w:ascii="Times New Roman" w:eastAsia="Times New Roman" w:hAnsi="Times New Roman" w:cs="Times New Roman"/>
          <w:bCs/>
          <w:sz w:val="18"/>
          <w:szCs w:val="18"/>
          <w:lang w:eastAsia="ru-RU"/>
        </w:rPr>
        <w:t>окна и балконн</w:t>
      </w:r>
      <w:bookmarkStart w:id="0" w:name="_GoBack"/>
      <w:bookmarkEnd w:id="0"/>
      <w:r w:rsidRPr="00341DF6">
        <w:rPr>
          <w:rFonts w:ascii="Times New Roman" w:eastAsia="Times New Roman" w:hAnsi="Times New Roman" w:cs="Times New Roman"/>
          <w:bCs/>
          <w:sz w:val="18"/>
          <w:szCs w:val="18"/>
          <w:lang w:eastAsia="ru-RU"/>
        </w:rPr>
        <w:t>ые двери - блоки из металлопластиковых профилей с заполнением двухкамерными стеклопакетами.</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341DF6"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341DF6">
        <w:rPr>
          <w:rFonts w:ascii="Times New Roman" w:eastAsia="Times New Roman" w:hAnsi="Times New Roman" w:cs="Times New Roman"/>
          <w:bCs/>
          <w:sz w:val="18"/>
          <w:szCs w:val="18"/>
          <w:lang w:eastAsia="ru-RU"/>
        </w:rPr>
        <w:t>дверь входная металлическая с врезным замком.</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39)</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по адресу: Санкт-Петербург, Коломяжский проспект, дом 13 литера А</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этажей: 18 </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Общая площадь дома: 32 780,11 кв.м</w:t>
      </w:r>
    </w:p>
    <w:p w:rsidR="00865215" w:rsidRPr="00865215" w:rsidRDefault="00865215" w:rsidP="0024390C">
      <w:pPr>
        <w:spacing w:after="0" w:line="220" w:lineRule="exact"/>
        <w:jc w:val="both"/>
        <w:rPr>
          <w:rFonts w:ascii="Times New Roman" w:hAnsi="Times New Roman" w:cs="Times New Roman"/>
          <w:sz w:val="18"/>
          <w:szCs w:val="18"/>
        </w:rPr>
      </w:pPr>
      <w:r w:rsidRPr="00865215">
        <w:rPr>
          <w:rFonts w:ascii="Times New Roman" w:hAnsi="Times New Roman" w:cs="Times New Roman"/>
          <w:sz w:val="18"/>
          <w:szCs w:val="18"/>
        </w:rPr>
        <w:t>Материал наружных стен и каркаса: __</w:t>
      </w:r>
      <w:r w:rsidRPr="00865215">
        <w:rPr>
          <w:rFonts w:ascii="Times New Roman" w:hAnsi="Times New Roman" w:cs="Times New Roman"/>
          <w:sz w:val="18"/>
          <w:szCs w:val="18"/>
          <w:u w:val="single"/>
        </w:rPr>
        <w:t>монолитный железобетон</w:t>
      </w:r>
    </w:p>
    <w:p w:rsidR="00B866AE" w:rsidRDefault="00865215" w:rsidP="0024390C">
      <w:pPr>
        <w:spacing w:after="0" w:line="220" w:lineRule="exact"/>
        <w:rPr>
          <w:rFonts w:ascii="Times New Roman" w:hAnsi="Times New Roman" w:cs="Times New Roman"/>
          <w:sz w:val="18"/>
          <w:szCs w:val="18"/>
          <w:u w:val="single"/>
        </w:rPr>
      </w:pPr>
      <w:r w:rsidRPr="00865215">
        <w:rPr>
          <w:rFonts w:ascii="Times New Roman" w:hAnsi="Times New Roman" w:cs="Times New Roman"/>
          <w:sz w:val="18"/>
          <w:szCs w:val="18"/>
        </w:rPr>
        <w:t>Материал поэтажных перекрытий: ___</w:t>
      </w:r>
      <w:r w:rsidR="00B866AE">
        <w:rPr>
          <w:rFonts w:ascii="Times New Roman" w:hAnsi="Times New Roman" w:cs="Times New Roman"/>
          <w:sz w:val="18"/>
          <w:szCs w:val="18"/>
          <w:u w:val="single"/>
        </w:rPr>
        <w:t>монолитный железобетон</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Класс энергоэффективности: </w:t>
      </w:r>
      <w:r w:rsidRPr="00865215">
        <w:rPr>
          <w:rFonts w:ascii="Times New Roman" w:hAnsi="Times New Roman" w:cs="Times New Roman"/>
          <w:sz w:val="18"/>
          <w:szCs w:val="18"/>
          <w:u w:val="single"/>
        </w:rPr>
        <w:t>Высокий «В»</w:t>
      </w:r>
      <w:r w:rsidRPr="00865215">
        <w:rPr>
          <w:rFonts w:ascii="Times New Roman" w:hAnsi="Times New Roman" w:cs="Times New Roman"/>
          <w:sz w:val="18"/>
          <w:szCs w:val="18"/>
        </w:rPr>
        <w:t>_</w:t>
      </w:r>
    </w:p>
    <w:p w:rsidR="00865215" w:rsidRPr="00865215" w:rsidRDefault="00865215" w:rsidP="0024390C">
      <w:pPr>
        <w:pStyle w:val="ConsPlusNormal"/>
        <w:spacing w:line="220" w:lineRule="exact"/>
        <w:rPr>
          <w:rFonts w:ascii="Times New Roman" w:hAnsi="Times New Roman" w:cs="Times New Roman"/>
          <w:color w:val="FF0000"/>
          <w:sz w:val="18"/>
          <w:szCs w:val="18"/>
        </w:rPr>
      </w:pPr>
      <w:r w:rsidRPr="00865215">
        <w:rPr>
          <w:rFonts w:ascii="Times New Roman" w:hAnsi="Times New Roman" w:cs="Times New Roman"/>
          <w:sz w:val="18"/>
          <w:szCs w:val="18"/>
        </w:rPr>
        <w:t>Сейсмостойкость: не определяется согласно СП 14.13330.2014</w:t>
      </w:r>
      <w:r w:rsidRPr="00865215">
        <w:rPr>
          <w:rFonts w:ascii="Times New Roman" w:hAnsi="Times New Roman" w:cs="Times New Roman"/>
          <w:color w:val="FF0000"/>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FC" w:rsidRDefault="00A460FC">
      <w:pPr>
        <w:spacing w:after="0" w:line="240" w:lineRule="auto"/>
      </w:pPr>
      <w:r>
        <w:separator/>
      </w:r>
    </w:p>
  </w:endnote>
  <w:endnote w:type="continuationSeparator" w:id="0">
    <w:p w:rsidR="00A460FC" w:rsidRDefault="00A4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AC010D">
        <w:pPr>
          <w:pStyle w:val="a3"/>
          <w:jc w:val="right"/>
        </w:pPr>
        <w:r>
          <w:fldChar w:fldCharType="begin"/>
        </w:r>
        <w:r w:rsidR="00B866AE">
          <w:instrText xml:space="preserve"> PAGE   \* MERGEFORMAT </w:instrText>
        </w:r>
        <w:r>
          <w:fldChar w:fldCharType="separate"/>
        </w:r>
        <w:r w:rsidR="00341DF6">
          <w:rPr>
            <w:noProof/>
          </w:rPr>
          <w:t>13</w:t>
        </w:r>
        <w:r>
          <w:fldChar w:fldCharType="end"/>
        </w:r>
      </w:p>
    </w:sdtContent>
  </w:sdt>
  <w:p w:rsidR="00A805B5" w:rsidRDefault="00A460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FC" w:rsidRDefault="00A460FC">
      <w:pPr>
        <w:spacing w:after="0" w:line="240" w:lineRule="auto"/>
      </w:pPr>
      <w:r>
        <w:separator/>
      </w:r>
    </w:p>
  </w:footnote>
  <w:footnote w:type="continuationSeparator" w:id="0">
    <w:p w:rsidR="00A460FC" w:rsidRDefault="00A4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331D8"/>
    <w:rsid w:val="0006179F"/>
    <w:rsid w:val="00072299"/>
    <w:rsid w:val="001F1D67"/>
    <w:rsid w:val="00217194"/>
    <w:rsid w:val="0024390C"/>
    <w:rsid w:val="002508AE"/>
    <w:rsid w:val="002E7A4A"/>
    <w:rsid w:val="00305C48"/>
    <w:rsid w:val="00341DF6"/>
    <w:rsid w:val="00344483"/>
    <w:rsid w:val="00361DE7"/>
    <w:rsid w:val="004014DF"/>
    <w:rsid w:val="004E25AF"/>
    <w:rsid w:val="00545494"/>
    <w:rsid w:val="0062112E"/>
    <w:rsid w:val="00665DE1"/>
    <w:rsid w:val="00673CB5"/>
    <w:rsid w:val="006B14AF"/>
    <w:rsid w:val="006D09F0"/>
    <w:rsid w:val="008058DD"/>
    <w:rsid w:val="00865215"/>
    <w:rsid w:val="00971422"/>
    <w:rsid w:val="009B20C5"/>
    <w:rsid w:val="009E4272"/>
    <w:rsid w:val="00A460FC"/>
    <w:rsid w:val="00A551AB"/>
    <w:rsid w:val="00A84016"/>
    <w:rsid w:val="00AC010D"/>
    <w:rsid w:val="00B866AE"/>
    <w:rsid w:val="00BA315E"/>
    <w:rsid w:val="00C3289D"/>
    <w:rsid w:val="00C558FB"/>
    <w:rsid w:val="00C763A1"/>
    <w:rsid w:val="00CD5838"/>
    <w:rsid w:val="00D652C5"/>
    <w:rsid w:val="00D67D5B"/>
    <w:rsid w:val="00D84381"/>
    <w:rsid w:val="00E06FE3"/>
    <w:rsid w:val="00EE73B8"/>
    <w:rsid w:val="00FC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42C63-D948-4083-A020-7256039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customStyle="1" w:styleId="T1">
    <w:name w:val="T1"/>
    <w:rsid w:val="006D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736776237">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2029-573A-46B9-889B-2718197C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8160</Words>
  <Characters>46513</Characters>
  <Application>Microsoft Office Word</Application>
  <DocSecurity>0</DocSecurity>
  <Lines>387</Lines>
  <Paragraphs>109</Paragraphs>
  <ScaleCrop>false</ScaleCrop>
  <Company/>
  <LinksUpToDate>false</LinksUpToDate>
  <CharactersWithSpaces>54564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26</cp:revision>
  <dcterms:created xsi:type="dcterms:W3CDTF">2017-12-21T15:28:00Z</dcterms:created>
  <dcterms:modified xsi:type="dcterms:W3CDTF">2020-03-19T08:43:00Z</dcterms:modified>
</cp:coreProperties>
</file>